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2617215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2E52A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F561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E4264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«Анапа-океан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2E52AA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4B67BC" w:rsidRDefault="004B67BC" w:rsidP="004B67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19</w:t>
      </w:r>
    </w:p>
    <w:p w:rsidR="004B67BC" w:rsidRDefault="004B67BC" w:rsidP="004B67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B67BC" w:rsidRDefault="004B67BC" w:rsidP="004B67B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или ж/д вокзала маршруткой до санатория «Анапа-Океан».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Расположен в одном из живописнейших уголков курорта Анапа - на красивейшей набережной города. Из номеров комфортабельного 13-этажного корпуса открывается потрясающий вид на Анапскую бухту и утопающий в зелени город. Удачное расположение санатория в самом центре города, в первой курортной зоне даёт гостям здравницы ряд преимуществ: в непосредственной близости от санатория расположены: морской порт, яхт-клуб, клуб дайвинга и виндсерфинга, парусного спорта, единственный в России водный стадион на канатной тяге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Ски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Риксен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-юг" - катание на водных лыжах, детский парк аттракционов, аквапарк "Золотой пляж", городской бювет с минеральной водой, торговые центры, множество всевозможных кафе, ресторанов, ночных клубов и других объектов отдыха и развлечений, городская театральная площадь "Родина».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 пляж, бассейн,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, кинозал, детская игровая комната с воспитателем, охраняемая автостоянка, массажные кабинеты, СПА-процедуры, ресторан, лобби-бар.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хронические заболевания органов дыхания нетуберкулезного характера;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хронические заболевания верхних дыхательных путей;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аллергические заболевания верхних дыхательных путей;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бронхиальная астма (легкое течение);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аллергические заболевания кожи;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болезни обмена веществ;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хронические заболевания опорно-двигательного аппарата и периферической нервной системы;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хронические гинекологические заболевания;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болезни мочеполовой системы;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функциональные нарушения нервной системы (неврозы);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болезни органов пищеварения;</w:t>
      </w:r>
    </w:p>
    <w:p w:rsidR="004B67BC" w:rsidRPr="004B67BC" w:rsidRDefault="004B67BC" w:rsidP="004B67BC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болезни сосудов.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Лечение назначается при приобретении путевки от 7 дней.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 3-разовое по системе «шведский» стол».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собственный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 песчаный пляж в 500 метрах от санатория. Пляж оснащен лежаками, теневыми навесами, также имеется медицинский и спасательный пост.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lastRenderedPageBreak/>
        <w:br/>
        <w:t>Также гости могут воспользоваться галечным пляжем, расположенным в 300 метрах от санатория.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1-местный 1-комнатный стандарт - номер на 1 человека + доп. место: общая площадь 15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., санузел (унитаз, душ, раковина, зеркало), шкаф для одежды, одноместная кровать, кресло-кровать — дополнительное место, зеркало, тумбочка, стол, стул, холодильник, TV, кондиционер, телефон, балкон с видом на море/город.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стандарт - номер на 2 человека + доп. место: общая площадь 18-20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., санузел (унитаз, душ, раковина, зеркало), шкаф для одежды, две одноместные кровати, зеркало, 2 тумбочки, стол, стул, холодильник, TV, кондиционер, балкон с видом на море/город.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студия - номер на 2 человека + доп. место: общая площадь 25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., санузел (унитаз, душ, раковина, зеркало), шкаф для одежды, кровать, диван, зеркало, 2 тумбочки, стол, стул, холодильник, TV, кондиционер, балкон и лоджия с видом на море/город.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2-местный 2-комнатный люкс - номер на 2 человека + доп. место: общая площадь 33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., санузел (унитаз, ванна, раковина, зеркало, фен), шкаф для одежды, двуспальная кровать, раскладывающийся диван, зеркало, 2 тумбочки, стол, 2 стула, холодильник, TV, кондиционер, набор посуды. Балкон и лоджия с видом на море (на лоджии установлены пластмассовые столик и 2 стула).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3-местный 3-комнатный люкс - номер на 3 человека + доп. место: общая площадь 45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., состоящие из одной и 2-х смежных жилых комнат, включающий в себя две спальни и гостиную, 2 санузла(унитаз, умывальник, зеркало, ванна, раковина, душ, фен), шкаф для одежды, односпальная кровать, двуспальная кровать, раскладывающийся диван, кресло, тумбочки, 2 стула, холодильник, набор посуды, ТV, кондиционер, балкон и лоджия с видом на море.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2E52AA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2-3-местные номера (с удобствами на этаже) площадью 15-25 </w:t>
      </w:r>
      <w:proofErr w:type="spellStart"/>
      <w:r w:rsidRPr="004B67BC">
        <w:rPr>
          <w:rFonts w:ascii="Arial" w:eastAsia="Times New Roman" w:hAnsi="Arial" w:cs="Arial"/>
          <w:color w:val="616161"/>
          <w:sz w:val="21"/>
          <w:szCs w:val="21"/>
        </w:rPr>
        <w:t>кв.м</w:t>
      </w:r>
      <w:proofErr w:type="spellEnd"/>
      <w:r w:rsidRPr="004B67BC">
        <w:rPr>
          <w:rFonts w:ascii="Arial" w:eastAsia="Times New Roman" w:hAnsi="Arial" w:cs="Arial"/>
          <w:color w:val="616161"/>
          <w:sz w:val="21"/>
          <w:szCs w:val="21"/>
        </w:rPr>
        <w:t>. В номере: 2-3 кровати, прикроватные тумбочки, стол, стулья, плательный шкаф, зеркало. На каждом этаже расположены: душ, туалет, комнаты для стирки белья и приготовления пищи.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принимаются с любого возраста. Лечение предоставляется детям с 4 лет.</w:t>
      </w:r>
      <w:r w:rsidR="002E52AA">
        <w:rPr>
          <w:rFonts w:ascii="Arial" w:eastAsia="Times New Roman" w:hAnsi="Arial" w:cs="Arial"/>
          <w:color w:val="616161"/>
          <w:sz w:val="21"/>
          <w:szCs w:val="21"/>
        </w:rPr>
        <w:t xml:space="preserve"> 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Дети до 1 года - бесплатно.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4B67BC" w:rsidRPr="004B67BC" w:rsidRDefault="004B67BC" w:rsidP="004B67BC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от 4 до 14 лет скидка </w:t>
      </w:r>
      <w:r w:rsidR="002E52AA">
        <w:rPr>
          <w:rFonts w:ascii="Arial" w:eastAsia="Times New Roman" w:hAnsi="Arial" w:cs="Arial"/>
          <w:color w:val="616161"/>
          <w:sz w:val="21"/>
          <w:szCs w:val="21"/>
        </w:rPr>
        <w:t>50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% от стоимости основного места, в период межсезонья;</w:t>
      </w:r>
    </w:p>
    <w:p w:rsidR="004B67BC" w:rsidRPr="004B67BC" w:rsidRDefault="004B67BC" w:rsidP="004B67BC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 xml:space="preserve">от 14 лет и взрослые скидка </w:t>
      </w:r>
      <w:r w:rsidR="002E52AA">
        <w:rPr>
          <w:rFonts w:ascii="Arial" w:eastAsia="Times New Roman" w:hAnsi="Arial" w:cs="Arial"/>
          <w:color w:val="616161"/>
          <w:sz w:val="21"/>
          <w:szCs w:val="21"/>
        </w:rPr>
        <w:t>3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0% от стоимости основного места, в период межсезонья.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3-разовое питание «шведский стол»;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лечение;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закрытый бассейн;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пляж (шезлонги, навесы, зонты);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детская игровая комната;</w:t>
      </w:r>
    </w:p>
    <w:p w:rsidR="004B67BC" w:rsidRPr="004B67BC" w:rsidRDefault="004B67BC" w:rsidP="004B67BC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культурно-развлекательные мероприятия.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lastRenderedPageBreak/>
        <w:t>посещение бара, ресторана с видом на город-курорт Анапа (в вечернее время);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экскурсионное обслуживание;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приобретение обратных билетов;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транспортные услуги на курорте Анапа (по заявке);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медицинское обслуживание, включающее оформление санаторно-курортной карты, функциональную диагностику, лазеротерапию, психотерапию, иглорефлексотерапию, стоматологический и косметический кабинеты санатория "Анапа-Океан";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сауна;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прокат спортинвентаря;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бильярдный зал;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тренажерный зал санатория "Анапа-Океан";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услуги прачечной;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междугородний, городской телефон;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бассейн (в зимнее время);</w:t>
      </w:r>
    </w:p>
    <w:p w:rsidR="004B67BC" w:rsidRPr="004B67BC" w:rsidRDefault="004B67BC" w:rsidP="004B67BC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автопарковка.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4B67BC">
        <w:rPr>
          <w:rFonts w:ascii="Arial" w:eastAsia="Times New Roman" w:hAnsi="Arial" w:cs="Arial"/>
          <w:color w:val="616161"/>
          <w:sz w:val="21"/>
          <w:szCs w:val="21"/>
        </w:rPr>
        <w:t> заезд в 14:00, выезд в 12:00</w:t>
      </w:r>
    </w:p>
    <w:p w:rsidR="004B67BC" w:rsidRPr="004B67BC" w:rsidRDefault="004B67BC" w:rsidP="004B67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2E52A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 w:rsidRPr="004B67BC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  <w:r w:rsidRPr="004B67BC">
        <w:rPr>
          <w:rFonts w:ascii="Arial" w:eastAsia="Times New Roman" w:hAnsi="Arial" w:cs="Arial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18401F2A" wp14:editId="53801C22">
                <wp:extent cx="304800" cy="304800"/>
                <wp:effectExtent l="0" t="0" r="0" b="0"/>
                <wp:docPr id="1" name="ifmnznznimgimage" descr="Анапа-океан г. Анап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A1AEB" id="ifmnznznimgimage" o:spid="_x0000_s1026" alt="Анапа-океан г. Анап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XMrEuACAADp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1349"/>
        <w:gridCol w:w="1349"/>
        <w:gridCol w:w="1349"/>
        <w:gridCol w:w="1349"/>
        <w:gridCol w:w="1349"/>
        <w:gridCol w:w="1364"/>
      </w:tblGrid>
      <w:tr w:rsidR="002E52AA" w:rsidRPr="002E52AA" w:rsidTr="002E52A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вид на город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город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 вид на город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Улучшенный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3420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 вид на город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Студия Семейный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2E52AA" w:rsidRPr="002E52AA" w:rsidTr="002E52A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Люкс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</w:tr>
      <w:tr w:rsidR="002E52AA" w:rsidRPr="002E52AA" w:rsidTr="00CF447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2AA" w:rsidRPr="002E52AA" w:rsidRDefault="002E52AA" w:rsidP="002E52A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lastRenderedPageBreak/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52AA" w:rsidRPr="002E52AA" w:rsidRDefault="002E52AA" w:rsidP="002E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E52A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E52AA" w:rsidRDefault="002E52A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2E52A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18" w:rsidRDefault="00DF5618" w:rsidP="00252B2C">
      <w:pPr>
        <w:spacing w:after="0" w:line="240" w:lineRule="auto"/>
      </w:pPr>
      <w:r>
        <w:separator/>
      </w:r>
    </w:p>
  </w:endnote>
  <w:endnote w:type="continuationSeparator" w:id="0">
    <w:p w:rsidR="00DF5618" w:rsidRDefault="00DF561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18" w:rsidRDefault="00DF5618" w:rsidP="00252B2C">
      <w:pPr>
        <w:spacing w:after="0" w:line="240" w:lineRule="auto"/>
      </w:pPr>
      <w:r>
        <w:separator/>
      </w:r>
    </w:p>
  </w:footnote>
  <w:footnote w:type="continuationSeparator" w:id="0">
    <w:p w:rsidR="00DF5618" w:rsidRDefault="00DF561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3F33"/>
    <w:multiLevelType w:val="multilevel"/>
    <w:tmpl w:val="926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3A0678"/>
    <w:multiLevelType w:val="multilevel"/>
    <w:tmpl w:val="A37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16A87"/>
    <w:multiLevelType w:val="multilevel"/>
    <w:tmpl w:val="34A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61C25"/>
    <w:multiLevelType w:val="multilevel"/>
    <w:tmpl w:val="C77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2E52AA"/>
    <w:rsid w:val="003D779C"/>
    <w:rsid w:val="004010C4"/>
    <w:rsid w:val="004426F9"/>
    <w:rsid w:val="00461380"/>
    <w:rsid w:val="00490A8B"/>
    <w:rsid w:val="004B5F0E"/>
    <w:rsid w:val="004B67BC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DF3CBD"/>
    <w:rsid w:val="00DF5618"/>
    <w:rsid w:val="00E17228"/>
    <w:rsid w:val="00E32E13"/>
    <w:rsid w:val="00E42646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59E6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629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527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2A30-B66B-467D-A506-2D7157B8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2019-02-25T13:27:00Z</dcterms:created>
  <dcterms:modified xsi:type="dcterms:W3CDTF">2019-02-25T13:27:00Z</dcterms:modified>
</cp:coreProperties>
</file>