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40534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E70A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E70A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E70A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E70A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E70A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E70A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E70A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E70A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E70A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E70A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E70A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E70A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E70A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E70A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4231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9A3CF8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«Автотранспортник России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2E70A2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Агой, ул. Центральная, 53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самолетом до Краснодара, далее на такси или от автовокзала междугородним автобусом в направлении Туапсе до санатория «Автотранспортник России», после поселка Небуг. (около 150 км.);</w:t>
      </w:r>
      <w:r>
        <w:rPr>
          <w:rFonts w:ascii="Arial" w:hAnsi="Arial" w:cs="Arial"/>
          <w:color w:val="616161"/>
          <w:sz w:val="21"/>
          <w:szCs w:val="21"/>
        </w:rPr>
        <w:br/>
        <w:t>самолетом до Адлера, далее ЖД транспортом до станции Туапсе, далее автобусом или такси до санатория.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Проез</w:t>
      </w:r>
      <w:r w:rsidR="00E72C54">
        <w:rPr>
          <w:rFonts w:ascii="Arial" w:hAnsi="Arial" w:cs="Arial"/>
          <w:color w:val="616161"/>
          <w:sz w:val="21"/>
          <w:szCs w:val="21"/>
        </w:rPr>
        <w:t>д:</w:t>
      </w:r>
      <w:r>
        <w:rPr>
          <w:rFonts w:ascii="Arial" w:hAnsi="Arial" w:cs="Arial"/>
          <w:color w:val="616161"/>
          <w:sz w:val="21"/>
          <w:szCs w:val="21"/>
        </w:rPr>
        <w:t xml:space="preserve"> поездом до ЖД станции г. Туапсе, далее от автовокзала (находится в 5 минутах ходьбы от ЖД вокзала), пригородными автобусами до остановки по требованию санаторий «Автотранспортник России» (10 км), это за поселком Агой.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Автобусы ходят часто.</w:t>
      </w: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Санаторий расположен в 10 км от города Туапсе, в экологически чистой зоне пос. Агой. Санаторий отличается благоприятным географическим расположением: горы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полукольцом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обступающие корпус здравницы, создают естественную лесопарковую зону. Корпус здравницы находится в 40 метрах от берега Чёрного моря, без лестничных спусков. </w:t>
      </w:r>
      <w:r>
        <w:rPr>
          <w:rFonts w:ascii="Arial" w:hAnsi="Arial" w:cs="Arial"/>
          <w:color w:val="616161"/>
          <w:sz w:val="21"/>
          <w:szCs w:val="21"/>
        </w:rPr>
        <w:br/>
        <w:t>Территория здравницы окружена благоустроенными зонами отдыха, газонами, клумбами.</w:t>
      </w:r>
      <w:r>
        <w:rPr>
          <w:rFonts w:ascii="Arial" w:hAnsi="Arial" w:cs="Arial"/>
          <w:color w:val="616161"/>
          <w:sz w:val="21"/>
          <w:szCs w:val="21"/>
        </w:rPr>
        <w:br/>
        <w:t>Влажный субтропический микроклимат, позволяет выращивать редкие экзотические растения. Имеется собственный оборудованный пляж.</w:t>
      </w:r>
      <w:r>
        <w:rPr>
          <w:rFonts w:ascii="Arial" w:hAnsi="Arial" w:cs="Arial"/>
          <w:color w:val="616161"/>
          <w:sz w:val="21"/>
          <w:szCs w:val="21"/>
        </w:rPr>
        <w:br/>
        <w:t>Широкий список медицинских услуг, квалифицированный персонал, чистый воздух и теплое море позволяют провести санаторное лечение как детей, так и взрослых.</w:t>
      </w:r>
      <w:r>
        <w:rPr>
          <w:rFonts w:ascii="Arial" w:hAnsi="Arial" w:cs="Arial"/>
          <w:color w:val="616161"/>
          <w:sz w:val="21"/>
          <w:szCs w:val="21"/>
        </w:rPr>
        <w:br/>
        <w:t>Территория санатория составляет 6,67 га, площадь лесопарковой зоны 4,4 га.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тренажерный зал, зал лечебной гимнастики, баня-сауна с бассейном и гидромассажем, сауна на берегу моря, теннисный корт, бильярдный и тренажерные залы, зал ЛФК, площадка для пляжного волейбола. Охраняемая автостоянка, конференц-залы на 40 и 120 мест, киноконцертный зал на 300 мест оснащенный кондиционерами, библиотека, парикмахерская, аттракцион-батут, культурно-развлекательные и экскурсионные программы, фито-бар, ночной диско-бар с шоу программами, кафе с живой музыкой, бары, депозитный сейф для хранения ценностей и документов, междугородная связь, детский городок и детская площадка, заказ такси. Поездки в город Туапсе и обратно – на автобусах санатория. Заказ такси круглосуточно.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726CB3" w:rsidRDefault="00726CB3" w:rsidP="00726CB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опорно-двигательного аппарата;</w:t>
      </w:r>
    </w:p>
    <w:p w:rsidR="00726CB3" w:rsidRDefault="00726CB3" w:rsidP="00726CB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(нетуберкулезного происхождения);</w:t>
      </w:r>
    </w:p>
    <w:p w:rsidR="00726CB3" w:rsidRDefault="00726CB3" w:rsidP="00726CB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  <w:r>
        <w:rPr>
          <w:rFonts w:ascii="Arial" w:hAnsi="Arial" w:cs="Arial"/>
          <w:color w:val="616161"/>
          <w:sz w:val="21"/>
          <w:szCs w:val="21"/>
        </w:rPr>
        <w:br/>
        <w:t>Лечение приобретается за дополнительную плату 400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"Заказное меню", в период с 01.06 по 30.09 "Шведский стол".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 xml:space="preserve"> собственный закрытый с двух сторон - с одной стороны естественным горным массивом (скалой), с другой стороны – насыпным камнем (молом) и разделён на 3 зоны: песчаный-200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галечно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– песчаный - 2600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VIP пляж с искусственным покрытием (зеленая трава)-600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.- общая площадь составляет- 3400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здесь же находится детский игровой городок. Пляж расположен в 40 метрах от входа в корпус, без лестничных спусков и переходов через трассу.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 (с раздельными кроватями - TWIN). Номер площадью 14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оснащен спутниковым ТВ, холодильником, радио, телефоном, санузлом с ванной, кондиционером или сплит-системой.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 (с двуспальной кроватью – DBL). Номер площадью 14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оснащен спутниковым ТВ, холодильником, радио, телефоном, санузлом с ванной, кондиционером или сплит-системой.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Студия. Номер площадью 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оснащен спутниковым ТВ, холодильником, радио, телефоном, санузлом с ванной, сплит-системой. Дополнительное место: 1 (кресло-кровать).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2-местный 2-комнатный номер Люкс. Оснащен спутниковым ТВ, холодильником, радио, телефоном, санузлом с ванной, мягкой мебелью, сплит-системой.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 (раскладной диван).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Смена белья – 1 раз в 5 дней для «Стандартов; 1 раз в 3 дня для «Люксов» и «Студий».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до 3 лет принимаются по согласованию с администрацией санатория, без предоставления отдельного спального места и питания бесплатно.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Одноместное размещение увеличивается на 70%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от</w:t>
      </w:r>
      <w:r w:rsidR="00E72C54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стоимости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указанной в прайс-листе.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плавательным бассейном;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тренажерного зала;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площадки;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культурно-развлекательные мероприятия;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библиотека;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 с услугами воспитателя;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сейфовыми ячейками;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оказание экстренной медицинской помощи;</w:t>
      </w:r>
    </w:p>
    <w:p w:rsidR="00726CB3" w:rsidRDefault="00726CB3" w:rsidP="00726CB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автостоянка.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726CB3" w:rsidRDefault="00726CB3" w:rsidP="00726CB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санаторно-курортное лечение 400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/день;</w:t>
      </w:r>
    </w:p>
    <w:p w:rsidR="00726CB3" w:rsidRDefault="00726CB3" w:rsidP="00726CB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с бассейном;</w:t>
      </w:r>
    </w:p>
    <w:p w:rsidR="00726CB3" w:rsidRDefault="00726CB3" w:rsidP="00726CB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теннисный корт;</w:t>
      </w:r>
    </w:p>
    <w:p w:rsidR="00726CB3" w:rsidRDefault="00726CB3" w:rsidP="00726CB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726CB3" w:rsidRDefault="00726CB3" w:rsidP="00726CB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детские аттракционы.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22:00, выезд в 21:00</w:t>
      </w:r>
    </w:p>
    <w:p w:rsidR="00726CB3" w:rsidRDefault="00726CB3" w:rsidP="00726C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54CAA" w:rsidRDefault="00726CB3" w:rsidP="002E70A2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2E70A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57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1161"/>
        <w:gridCol w:w="1162"/>
        <w:gridCol w:w="1162"/>
        <w:gridCol w:w="1162"/>
        <w:gridCol w:w="1162"/>
        <w:gridCol w:w="1162"/>
        <w:gridCol w:w="1162"/>
        <w:gridCol w:w="1177"/>
      </w:tblGrid>
      <w:tr w:rsidR="002E70A2" w:rsidRPr="002E70A2" w:rsidTr="002E70A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дополнительное место в номерах Делюкс и </w:t>
            </w:r>
            <w:proofErr w:type="spellStart"/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номере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2E70A2" w:rsidRPr="002E70A2" w:rsidTr="002E70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70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2E70A2" w:rsidRPr="002E70A2" w:rsidTr="002E70A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E70A2" w:rsidRPr="002E70A2" w:rsidRDefault="002E70A2" w:rsidP="002E70A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r w:rsidRPr="002E70A2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  <w:bookmarkEnd w:id="0"/>
          </w:p>
        </w:tc>
      </w:tr>
    </w:tbl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72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1C" w:rsidRDefault="00F4231C" w:rsidP="00252B2C">
      <w:pPr>
        <w:spacing w:after="0" w:line="240" w:lineRule="auto"/>
      </w:pPr>
      <w:r>
        <w:separator/>
      </w:r>
    </w:p>
  </w:endnote>
  <w:endnote w:type="continuationSeparator" w:id="0">
    <w:p w:rsidR="00F4231C" w:rsidRDefault="00F4231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1C" w:rsidRDefault="00F4231C" w:rsidP="00252B2C">
      <w:pPr>
        <w:spacing w:after="0" w:line="240" w:lineRule="auto"/>
      </w:pPr>
      <w:r>
        <w:separator/>
      </w:r>
    </w:p>
  </w:footnote>
  <w:footnote w:type="continuationSeparator" w:id="0">
    <w:p w:rsidR="00F4231C" w:rsidRDefault="00F4231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20DFC"/>
    <w:multiLevelType w:val="multilevel"/>
    <w:tmpl w:val="54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E4EEF"/>
    <w:multiLevelType w:val="multilevel"/>
    <w:tmpl w:val="CD1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86080"/>
    <w:multiLevelType w:val="multilevel"/>
    <w:tmpl w:val="9F2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A33C3"/>
    <w:multiLevelType w:val="multilevel"/>
    <w:tmpl w:val="F46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14626"/>
    <w:multiLevelType w:val="multilevel"/>
    <w:tmpl w:val="EA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3C3CF7"/>
    <w:multiLevelType w:val="multilevel"/>
    <w:tmpl w:val="018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F802C4"/>
    <w:multiLevelType w:val="multilevel"/>
    <w:tmpl w:val="869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73E8F"/>
    <w:multiLevelType w:val="multilevel"/>
    <w:tmpl w:val="5A0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08130D"/>
    <w:multiLevelType w:val="multilevel"/>
    <w:tmpl w:val="226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111E76"/>
    <w:multiLevelType w:val="multilevel"/>
    <w:tmpl w:val="9B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2E7EA3"/>
    <w:multiLevelType w:val="multilevel"/>
    <w:tmpl w:val="025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28"/>
  </w:num>
  <w:num w:numId="5">
    <w:abstractNumId w:val="7"/>
  </w:num>
  <w:num w:numId="6">
    <w:abstractNumId w:val="5"/>
  </w:num>
  <w:num w:numId="7">
    <w:abstractNumId w:val="41"/>
  </w:num>
  <w:num w:numId="8">
    <w:abstractNumId w:val="19"/>
  </w:num>
  <w:num w:numId="9">
    <w:abstractNumId w:val="46"/>
  </w:num>
  <w:num w:numId="10">
    <w:abstractNumId w:val="36"/>
  </w:num>
  <w:num w:numId="11">
    <w:abstractNumId w:val="9"/>
  </w:num>
  <w:num w:numId="12">
    <w:abstractNumId w:val="27"/>
  </w:num>
  <w:num w:numId="13">
    <w:abstractNumId w:val="10"/>
  </w:num>
  <w:num w:numId="14">
    <w:abstractNumId w:val="24"/>
  </w:num>
  <w:num w:numId="15">
    <w:abstractNumId w:val="43"/>
  </w:num>
  <w:num w:numId="16">
    <w:abstractNumId w:val="4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8"/>
  </w:num>
  <w:num w:numId="30">
    <w:abstractNumId w:val="0"/>
  </w:num>
  <w:num w:numId="31">
    <w:abstractNumId w:val="17"/>
  </w:num>
  <w:num w:numId="32">
    <w:abstractNumId w:val="32"/>
  </w:num>
  <w:num w:numId="33">
    <w:abstractNumId w:val="25"/>
  </w:num>
  <w:num w:numId="34">
    <w:abstractNumId w:val="44"/>
  </w:num>
  <w:num w:numId="35">
    <w:abstractNumId w:val="48"/>
  </w:num>
  <w:num w:numId="36">
    <w:abstractNumId w:val="4"/>
  </w:num>
  <w:num w:numId="37">
    <w:abstractNumId w:val="45"/>
  </w:num>
  <w:num w:numId="38">
    <w:abstractNumId w:val="1"/>
  </w:num>
  <w:num w:numId="39">
    <w:abstractNumId w:val="37"/>
  </w:num>
  <w:num w:numId="40">
    <w:abstractNumId w:val="12"/>
  </w:num>
  <w:num w:numId="41">
    <w:abstractNumId w:val="23"/>
  </w:num>
  <w:num w:numId="42">
    <w:abstractNumId w:val="11"/>
  </w:num>
  <w:num w:numId="43">
    <w:abstractNumId w:val="47"/>
  </w:num>
  <w:num w:numId="44">
    <w:abstractNumId w:val="34"/>
  </w:num>
  <w:num w:numId="45">
    <w:abstractNumId w:val="39"/>
  </w:num>
  <w:num w:numId="46">
    <w:abstractNumId w:val="33"/>
  </w:num>
  <w:num w:numId="47">
    <w:abstractNumId w:val="15"/>
  </w:num>
  <w:num w:numId="48">
    <w:abstractNumId w:val="16"/>
  </w:num>
  <w:num w:numId="49">
    <w:abstractNumId w:val="2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2E70A2"/>
    <w:rsid w:val="003C792F"/>
    <w:rsid w:val="003D779C"/>
    <w:rsid w:val="003F4CE4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26CB3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2C54"/>
    <w:rsid w:val="00ED30AE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DB6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2020-02-28T11:29:00Z</dcterms:created>
  <dcterms:modified xsi:type="dcterms:W3CDTF">2020-02-28T11:29:00Z</dcterms:modified>
</cp:coreProperties>
</file>